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34D" w:rsidRDefault="002D5103">
      <w:pPr>
        <w:rPr>
          <w:rFonts w:ascii="Arial Narrow" w:hAnsi="Arial Narrow"/>
          <w:sz w:val="28"/>
        </w:rPr>
      </w:pPr>
      <w:r w:rsidRPr="002D5103">
        <w:rPr>
          <w:rFonts w:ascii="Arial Narrow" w:hAnsi="Arial Narrow"/>
          <w:sz w:val="28"/>
        </w:rPr>
        <w:t>Eigenerklärung Unterauftragnehmer bzw. Eignungsleiher</w:t>
      </w:r>
    </w:p>
    <w:p w:rsidR="002D5103" w:rsidRDefault="002D5103">
      <w:pPr>
        <w:rPr>
          <w:rFonts w:ascii="Arial Narrow" w:hAnsi="Arial Narrow"/>
          <w:sz w:val="28"/>
        </w:rPr>
      </w:pPr>
    </w:p>
    <w:p w:rsidR="002D5103" w:rsidRPr="002D5103" w:rsidRDefault="002D5103" w:rsidP="002D5103">
      <w:pPr>
        <w:tabs>
          <w:tab w:val="left" w:pos="284"/>
        </w:tabs>
        <w:spacing w:line="240" w:lineRule="auto"/>
        <w:contextualSpacing/>
        <w:jc w:val="both"/>
        <w:outlineLvl w:val="0"/>
        <w:rPr>
          <w:rFonts w:ascii="Arial Narrow" w:eastAsia="Times New Roman" w:hAnsi="Arial Narrow" w:cs="Times New Roman"/>
          <w:b/>
          <w:sz w:val="19"/>
          <w:szCs w:val="19"/>
          <w:lang w:eastAsia="de-DE"/>
        </w:rPr>
      </w:pPr>
      <w:r w:rsidRPr="002D5103">
        <w:rPr>
          <w:rFonts w:ascii="Arial Narrow" w:eastAsia="Times New Roman" w:hAnsi="Arial Narrow" w:cs="Times New Roman"/>
          <w:b/>
          <w:sz w:val="19"/>
          <w:szCs w:val="19"/>
          <w:lang w:eastAsia="de-DE"/>
        </w:rPr>
        <w:t>Hiermit wird erklärt, dass nachweislich auf keine Person, deren Verhalten dem Unternehmen zuzurechnen ist, ein zwingender Ausschlussgrund (§ 123 Abs. 1 GWB) zutrifft und ob eine schwere Verfehlung, die die Zuverlässigkeit als Bewerber in Frage stellt (§ 124 Abs. 1 Nr. 3 GWB) oder ein weiterer fakultativer Ausschlussgrund nach § 124 GWB vorliegt.</w:t>
      </w:r>
      <w:r w:rsidRPr="002D5103">
        <w:rPr>
          <w:rFonts w:ascii="Arial Narrow" w:eastAsia="Times New Roman" w:hAnsi="Arial Narrow" w:cs="Times New Roman"/>
          <w:b/>
          <w:sz w:val="19"/>
          <w:szCs w:val="19"/>
          <w:lang w:eastAsia="de-DE"/>
        </w:rPr>
        <w:br w:type="textWrapping" w:clear="all"/>
      </w:r>
    </w:p>
    <w:bookmarkStart w:id="0" w:name="_GoBack"/>
    <w:p w:rsidR="002D5103" w:rsidRPr="002D5103" w:rsidRDefault="002D5103" w:rsidP="002D5103">
      <w:pPr>
        <w:tabs>
          <w:tab w:val="left" w:pos="284"/>
        </w:tabs>
        <w:spacing w:line="240" w:lineRule="auto"/>
        <w:contextualSpacing/>
        <w:jc w:val="both"/>
        <w:outlineLvl w:val="0"/>
        <w:rPr>
          <w:rFonts w:ascii="Arial Narrow" w:eastAsia="Times New Roman" w:hAnsi="Arial Narrow" w:cs="Times New Roman"/>
          <w:sz w:val="19"/>
          <w:szCs w:val="19"/>
          <w:lang w:eastAsia="de-DE"/>
        </w:rPr>
      </w:pPr>
      <w:r w:rsidRPr="002D5103">
        <w:rPr>
          <w:rFonts w:ascii="Arial Narrow" w:eastAsia="Times New Roman" w:hAnsi="Arial Narrow" w:cs="Times New Roman"/>
          <w:sz w:val="19"/>
          <w:szCs w:val="19"/>
          <w:lang w:eastAsia="de-DE"/>
        </w:rPr>
        <w:fldChar w:fldCharType="begin">
          <w:ffData>
            <w:name w:val="Kontrollkästchen3"/>
            <w:enabled/>
            <w:calcOnExit w:val="0"/>
            <w:checkBox>
              <w:sizeAuto/>
              <w:default w:val="0"/>
            </w:checkBox>
          </w:ffData>
        </w:fldChar>
      </w:r>
      <w:r w:rsidRPr="002D5103">
        <w:rPr>
          <w:rFonts w:ascii="Arial Narrow" w:eastAsia="Times New Roman" w:hAnsi="Arial Narrow" w:cs="Times New Roman"/>
          <w:sz w:val="19"/>
          <w:szCs w:val="19"/>
          <w:lang w:eastAsia="de-DE"/>
        </w:rPr>
        <w:instrText xml:space="preserve"> FORMCHECKBOX </w:instrText>
      </w:r>
      <w:r w:rsidR="00F970E0">
        <w:rPr>
          <w:rFonts w:ascii="Arial Narrow" w:eastAsia="Times New Roman" w:hAnsi="Arial Narrow" w:cs="Times New Roman"/>
          <w:sz w:val="19"/>
          <w:szCs w:val="19"/>
          <w:lang w:eastAsia="de-DE"/>
        </w:rPr>
      </w:r>
      <w:r w:rsidR="00F970E0">
        <w:rPr>
          <w:rFonts w:ascii="Arial Narrow" w:eastAsia="Times New Roman" w:hAnsi="Arial Narrow" w:cs="Times New Roman"/>
          <w:sz w:val="19"/>
          <w:szCs w:val="19"/>
          <w:lang w:eastAsia="de-DE"/>
        </w:rPr>
        <w:fldChar w:fldCharType="separate"/>
      </w:r>
      <w:r w:rsidRPr="002D5103">
        <w:rPr>
          <w:rFonts w:ascii="Arial Narrow" w:eastAsia="Times New Roman" w:hAnsi="Arial Narrow" w:cs="Times New Roman"/>
          <w:sz w:val="19"/>
          <w:szCs w:val="19"/>
          <w:lang w:eastAsia="de-DE"/>
        </w:rPr>
        <w:fldChar w:fldCharType="end"/>
      </w:r>
      <w:bookmarkEnd w:id="0"/>
      <w:r w:rsidRPr="002D5103">
        <w:rPr>
          <w:rFonts w:ascii="Arial Narrow" w:eastAsia="Times New Roman" w:hAnsi="Arial Narrow" w:cs="Times New Roman"/>
          <w:sz w:val="19"/>
          <w:szCs w:val="19"/>
          <w:lang w:eastAsia="de-DE"/>
        </w:rPr>
        <w:t xml:space="preserve"> Es liegt </w:t>
      </w:r>
      <w:r w:rsidRPr="002D5103">
        <w:rPr>
          <w:rFonts w:ascii="Arial Narrow" w:eastAsia="Times New Roman" w:hAnsi="Arial Narrow" w:cs="Times New Roman"/>
          <w:b/>
          <w:sz w:val="19"/>
          <w:szCs w:val="19"/>
          <w:lang w:eastAsia="de-DE"/>
        </w:rPr>
        <w:t>keine</w:t>
      </w:r>
      <w:r w:rsidRPr="002D5103">
        <w:rPr>
          <w:rFonts w:ascii="Arial Narrow" w:eastAsia="Times New Roman" w:hAnsi="Arial Narrow" w:cs="Times New Roman"/>
          <w:sz w:val="19"/>
          <w:szCs w:val="19"/>
          <w:lang w:eastAsia="de-DE"/>
        </w:rPr>
        <w:t xml:space="preserve"> rechtskräftige Verurteilung oder Festsetzung einer Geldbuße nach § 30 OWiG wegen einer der folgenden Straftaten bzw. nach vergleichbaren Vorschriften anderer Staaten vor (§ 123 GWB):</w:t>
      </w:r>
    </w:p>
    <w:p w:rsidR="002D5103" w:rsidRDefault="002D5103" w:rsidP="000A4C09">
      <w:pPr>
        <w:tabs>
          <w:tab w:val="left" w:pos="284"/>
          <w:tab w:val="left" w:pos="2177"/>
        </w:tabs>
        <w:spacing w:line="240" w:lineRule="auto"/>
        <w:ind w:left="360"/>
        <w:contextualSpacing/>
        <w:jc w:val="both"/>
        <w:outlineLvl w:val="0"/>
        <w:rPr>
          <w:rFonts w:ascii="Arial Narrow" w:eastAsia="Times New Roman" w:hAnsi="Arial Narrow" w:cs="Times New Roman"/>
          <w:sz w:val="19"/>
          <w:szCs w:val="19"/>
          <w:lang w:eastAsia="de-DE"/>
        </w:rPr>
      </w:pPr>
      <w:r w:rsidRPr="002D5103">
        <w:rPr>
          <w:rFonts w:ascii="Arial Narrow" w:eastAsia="Times New Roman" w:hAnsi="Arial Narrow" w:cs="Times New Roman"/>
          <w:sz w:val="19"/>
          <w:szCs w:val="19"/>
          <w:lang w:eastAsia="de-DE"/>
        </w:rPr>
        <w:tab/>
      </w:r>
      <w:r w:rsidR="000A4C09">
        <w:rPr>
          <w:rFonts w:ascii="Arial Narrow" w:eastAsia="Times New Roman" w:hAnsi="Arial Narrow" w:cs="Times New Roman"/>
          <w:sz w:val="19"/>
          <w:szCs w:val="19"/>
          <w:lang w:eastAsia="de-DE"/>
        </w:rPr>
        <w:tab/>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sz w:val="18"/>
          <w:szCs w:val="18"/>
          <w:lang w:eastAsia="de-DE"/>
        </w:rPr>
      </w:pPr>
      <w:r w:rsidRPr="002D5103">
        <w:rPr>
          <w:rFonts w:ascii="Arial Narrow" w:eastAsia="Times New Roman" w:hAnsi="Arial Narrow" w:cs="Times New Roman"/>
          <w:sz w:val="18"/>
          <w:szCs w:val="18"/>
          <w:lang w:eastAsia="de-DE"/>
        </w:rPr>
        <w:t xml:space="preserve">§ 129 StGB </w:t>
      </w:r>
      <w:r w:rsidRPr="002D5103">
        <w:rPr>
          <w:rFonts w:ascii="Arial Narrow" w:eastAsia="Times New Roman" w:hAnsi="Arial Narrow" w:cs="Times New Roman"/>
          <w:i/>
          <w:sz w:val="18"/>
          <w:szCs w:val="18"/>
          <w:lang w:eastAsia="de-DE"/>
        </w:rPr>
        <w:t>Bildung krimineller Vereinigungen</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sz w:val="18"/>
          <w:szCs w:val="18"/>
          <w:lang w:eastAsia="de-DE"/>
        </w:rPr>
      </w:pPr>
      <w:r w:rsidRPr="002D5103">
        <w:rPr>
          <w:rFonts w:ascii="Arial Narrow" w:eastAsia="Times New Roman" w:hAnsi="Arial Narrow" w:cs="Times New Roman"/>
          <w:sz w:val="18"/>
          <w:szCs w:val="18"/>
          <w:lang w:eastAsia="de-DE"/>
        </w:rPr>
        <w:t xml:space="preserve">§ 129a StGB </w:t>
      </w:r>
      <w:r w:rsidRPr="002D5103">
        <w:rPr>
          <w:rFonts w:ascii="Arial Narrow" w:eastAsia="Times New Roman" w:hAnsi="Arial Narrow" w:cs="Times New Roman"/>
          <w:i/>
          <w:sz w:val="18"/>
          <w:szCs w:val="18"/>
          <w:lang w:eastAsia="de-DE"/>
        </w:rPr>
        <w:t>Bildung terroristischer Vereinigungen</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i/>
          <w:sz w:val="18"/>
          <w:szCs w:val="18"/>
          <w:lang w:eastAsia="de-DE"/>
        </w:rPr>
      </w:pPr>
      <w:r w:rsidRPr="002D5103">
        <w:rPr>
          <w:rFonts w:ascii="Arial Narrow" w:eastAsia="Times New Roman" w:hAnsi="Arial Narrow" w:cs="Times New Roman"/>
          <w:sz w:val="18"/>
          <w:szCs w:val="18"/>
          <w:lang w:eastAsia="de-DE"/>
        </w:rPr>
        <w:t xml:space="preserve">§ 129b StGB </w:t>
      </w:r>
      <w:r w:rsidRPr="002D5103">
        <w:rPr>
          <w:rFonts w:ascii="Arial Narrow" w:eastAsia="Times New Roman" w:hAnsi="Arial Narrow" w:cs="Times New Roman"/>
          <w:i/>
          <w:sz w:val="18"/>
          <w:szCs w:val="18"/>
          <w:lang w:eastAsia="de-DE"/>
        </w:rPr>
        <w:t>Kriminelle und terroristische Vereinigungen im Ausland</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i/>
          <w:sz w:val="18"/>
          <w:szCs w:val="18"/>
          <w:lang w:eastAsia="de-DE"/>
        </w:rPr>
      </w:pPr>
      <w:r w:rsidRPr="002D5103">
        <w:rPr>
          <w:rFonts w:ascii="Arial Narrow" w:eastAsia="Times New Roman" w:hAnsi="Arial Narrow" w:cs="Times New Roman"/>
          <w:sz w:val="18"/>
          <w:szCs w:val="18"/>
          <w:lang w:eastAsia="de-DE"/>
        </w:rPr>
        <w:t xml:space="preserve">§ 89c StGB </w:t>
      </w:r>
      <w:r w:rsidRPr="002D5103">
        <w:rPr>
          <w:rFonts w:ascii="Arial Narrow" w:eastAsia="Times New Roman" w:hAnsi="Arial Narrow" w:cs="Times New Roman"/>
          <w:i/>
          <w:sz w:val="18"/>
          <w:szCs w:val="18"/>
          <w:lang w:eastAsia="de-DE"/>
        </w:rPr>
        <w:t>Terrorismusfinanzierung bzw. Beteiligung an einer solchen Tat</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i/>
          <w:sz w:val="18"/>
          <w:szCs w:val="18"/>
          <w:lang w:eastAsia="de-DE"/>
        </w:rPr>
      </w:pPr>
      <w:r w:rsidRPr="002D5103">
        <w:rPr>
          <w:rFonts w:ascii="Arial Narrow" w:eastAsia="Times New Roman" w:hAnsi="Arial Narrow" w:cs="Times New Roman"/>
          <w:sz w:val="18"/>
          <w:szCs w:val="18"/>
          <w:lang w:eastAsia="de-DE"/>
        </w:rPr>
        <w:t xml:space="preserve">§ 261 StGB </w:t>
      </w:r>
      <w:r w:rsidRPr="002D5103">
        <w:rPr>
          <w:rFonts w:ascii="Arial Narrow" w:eastAsia="Times New Roman" w:hAnsi="Arial Narrow" w:cs="Times New Roman"/>
          <w:i/>
          <w:sz w:val="18"/>
          <w:szCs w:val="18"/>
          <w:lang w:eastAsia="de-DE"/>
        </w:rPr>
        <w:t>Geldwäsche, Verschleierung unrechtmäßig erlangter Vermögenswerte</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sz w:val="18"/>
          <w:szCs w:val="18"/>
          <w:lang w:eastAsia="de-DE"/>
        </w:rPr>
      </w:pPr>
      <w:r w:rsidRPr="002D5103">
        <w:rPr>
          <w:rFonts w:ascii="Arial Narrow" w:eastAsia="Times New Roman" w:hAnsi="Arial Narrow" w:cs="Times New Roman"/>
          <w:sz w:val="18"/>
          <w:szCs w:val="18"/>
          <w:lang w:eastAsia="de-DE"/>
        </w:rPr>
        <w:t xml:space="preserve">§ 263 StGB </w:t>
      </w:r>
      <w:r w:rsidRPr="002D5103">
        <w:rPr>
          <w:rFonts w:ascii="Arial Narrow" w:eastAsia="Times New Roman" w:hAnsi="Arial Narrow" w:cs="Times New Roman"/>
          <w:i/>
          <w:sz w:val="18"/>
          <w:szCs w:val="18"/>
          <w:lang w:eastAsia="de-DE"/>
        </w:rPr>
        <w:t>Betrug</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sz w:val="18"/>
          <w:szCs w:val="18"/>
          <w:lang w:eastAsia="de-DE"/>
        </w:rPr>
      </w:pPr>
      <w:r w:rsidRPr="002D5103">
        <w:rPr>
          <w:rFonts w:ascii="Arial Narrow" w:eastAsia="Times New Roman" w:hAnsi="Arial Narrow" w:cs="Times New Roman"/>
          <w:sz w:val="18"/>
          <w:szCs w:val="18"/>
          <w:lang w:eastAsia="de-DE"/>
        </w:rPr>
        <w:t xml:space="preserve">§ 264 StGB </w:t>
      </w:r>
      <w:r w:rsidRPr="002D5103">
        <w:rPr>
          <w:rFonts w:ascii="Arial Narrow" w:eastAsia="Times New Roman" w:hAnsi="Arial Narrow" w:cs="Times New Roman"/>
          <w:i/>
          <w:sz w:val="18"/>
          <w:szCs w:val="18"/>
          <w:lang w:eastAsia="de-DE"/>
        </w:rPr>
        <w:t>Subventionsbetrug</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i/>
          <w:sz w:val="18"/>
          <w:szCs w:val="18"/>
          <w:lang w:eastAsia="de-DE"/>
        </w:rPr>
      </w:pPr>
      <w:r w:rsidRPr="002D5103">
        <w:rPr>
          <w:rFonts w:ascii="Arial Narrow" w:eastAsia="Times New Roman" w:hAnsi="Arial Narrow" w:cs="Times New Roman"/>
          <w:sz w:val="18"/>
          <w:szCs w:val="18"/>
          <w:lang w:eastAsia="de-DE"/>
        </w:rPr>
        <w:t xml:space="preserve">§ 299 StGB </w:t>
      </w:r>
      <w:r w:rsidRPr="002D5103">
        <w:rPr>
          <w:rFonts w:ascii="Arial Narrow" w:eastAsia="Times New Roman" w:hAnsi="Arial Narrow" w:cs="Times New Roman"/>
          <w:i/>
          <w:sz w:val="18"/>
          <w:szCs w:val="18"/>
          <w:lang w:eastAsia="de-DE"/>
        </w:rPr>
        <w:t>Bestechlichkeit und Bestechung im geschäftlichen Verkehr</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i/>
          <w:sz w:val="18"/>
          <w:szCs w:val="18"/>
          <w:lang w:eastAsia="de-DE"/>
        </w:rPr>
      </w:pPr>
      <w:r w:rsidRPr="002D5103">
        <w:rPr>
          <w:rFonts w:ascii="Arial Narrow" w:eastAsia="Times New Roman" w:hAnsi="Arial Narrow" w:cs="Times New Roman"/>
          <w:sz w:val="18"/>
          <w:szCs w:val="18"/>
          <w:lang w:eastAsia="de-DE"/>
        </w:rPr>
        <w:t xml:space="preserve">§ 108e StGB </w:t>
      </w:r>
      <w:r w:rsidRPr="002D5103">
        <w:rPr>
          <w:rFonts w:ascii="Arial Narrow" w:eastAsia="Times New Roman" w:hAnsi="Arial Narrow" w:cs="Times New Roman"/>
          <w:i/>
          <w:sz w:val="18"/>
          <w:szCs w:val="18"/>
          <w:lang w:eastAsia="de-DE"/>
        </w:rPr>
        <w:t>Bestechlichkeit und Bestechung von Mandatsträgern</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i/>
          <w:sz w:val="18"/>
          <w:szCs w:val="18"/>
          <w:lang w:eastAsia="de-DE"/>
        </w:rPr>
      </w:pPr>
      <w:r w:rsidRPr="002D5103">
        <w:rPr>
          <w:rFonts w:ascii="Arial Narrow" w:eastAsia="Times New Roman" w:hAnsi="Arial Narrow" w:cs="Times New Roman"/>
          <w:sz w:val="18"/>
          <w:szCs w:val="18"/>
          <w:lang w:eastAsia="de-DE"/>
        </w:rPr>
        <w:t xml:space="preserve">§§ 333, 334 StGB </w:t>
      </w:r>
      <w:r w:rsidRPr="002D5103">
        <w:rPr>
          <w:rFonts w:ascii="Arial Narrow" w:eastAsia="Times New Roman" w:hAnsi="Arial Narrow" w:cs="Times New Roman"/>
          <w:i/>
          <w:sz w:val="18"/>
          <w:szCs w:val="18"/>
          <w:lang w:eastAsia="de-DE"/>
        </w:rPr>
        <w:t>Vorteilsgewährung und Bestechung</w:t>
      </w:r>
      <w:r w:rsidRPr="002D5103">
        <w:rPr>
          <w:rFonts w:ascii="Arial Narrow" w:eastAsia="Times New Roman" w:hAnsi="Arial Narrow" w:cs="Times New Roman"/>
          <w:sz w:val="18"/>
          <w:szCs w:val="18"/>
          <w:lang w:eastAsia="de-DE"/>
        </w:rPr>
        <w:t>, jeweils auch in Verbindung mit § 335a StGB</w:t>
      </w:r>
    </w:p>
    <w:p w:rsidR="002D5103" w:rsidRPr="002D5103" w:rsidRDefault="002D5103" w:rsidP="002D5103">
      <w:pPr>
        <w:tabs>
          <w:tab w:val="left" w:pos="284"/>
        </w:tabs>
        <w:spacing w:line="240" w:lineRule="auto"/>
        <w:ind w:left="284"/>
        <w:contextualSpacing/>
        <w:jc w:val="both"/>
        <w:outlineLvl w:val="0"/>
        <w:rPr>
          <w:rFonts w:ascii="Arial Narrow" w:eastAsia="Times New Roman" w:hAnsi="Arial Narrow" w:cs="Times New Roman"/>
          <w:i/>
          <w:sz w:val="18"/>
          <w:szCs w:val="18"/>
          <w:lang w:eastAsia="de-DE"/>
        </w:rPr>
      </w:pPr>
      <w:r>
        <w:rPr>
          <w:rFonts w:ascii="Arial Narrow" w:eastAsia="Times New Roman" w:hAnsi="Arial Narrow" w:cs="Times New Roman"/>
          <w:sz w:val="18"/>
          <w:szCs w:val="18"/>
          <w:lang w:eastAsia="de-DE"/>
        </w:rPr>
        <w:t xml:space="preserve"> </w:t>
      </w:r>
      <w:r w:rsidRPr="002D5103">
        <w:rPr>
          <w:rFonts w:ascii="Arial Narrow" w:eastAsia="Times New Roman" w:hAnsi="Arial Narrow" w:cs="Times New Roman"/>
          <w:sz w:val="18"/>
          <w:szCs w:val="18"/>
          <w:lang w:eastAsia="de-DE"/>
        </w:rPr>
        <w:t xml:space="preserve">Artikel 2 § 2 des Gesetzes zur Bekämpfung internationaler Bestechung </w:t>
      </w:r>
      <w:r w:rsidRPr="002D5103">
        <w:rPr>
          <w:rFonts w:ascii="Arial Narrow" w:eastAsia="Times New Roman" w:hAnsi="Arial Narrow" w:cs="Times New Roman"/>
          <w:sz w:val="18"/>
          <w:szCs w:val="18"/>
          <w:lang w:eastAsia="de-DE"/>
        </w:rPr>
        <w:noBreakHyphen/>
        <w:t xml:space="preserve"> </w:t>
      </w:r>
      <w:r w:rsidRPr="002D5103">
        <w:rPr>
          <w:rFonts w:ascii="Arial Narrow" w:eastAsia="Times New Roman" w:hAnsi="Arial Narrow" w:cs="Times New Roman"/>
          <w:i/>
          <w:sz w:val="18"/>
          <w:szCs w:val="18"/>
          <w:lang w:eastAsia="de-DE"/>
        </w:rPr>
        <w:t xml:space="preserve">Bestechung ausländischer Abgeordneter im Zusammenhang </w:t>
      </w:r>
      <w:r>
        <w:rPr>
          <w:rFonts w:ascii="Arial Narrow" w:eastAsia="Times New Roman" w:hAnsi="Arial Narrow" w:cs="Times New Roman"/>
          <w:i/>
          <w:sz w:val="18"/>
          <w:szCs w:val="18"/>
          <w:lang w:eastAsia="de-DE"/>
        </w:rPr>
        <w:t xml:space="preserve">    </w:t>
      </w:r>
      <w:r w:rsidRPr="002D5103">
        <w:rPr>
          <w:rFonts w:ascii="Arial Narrow" w:eastAsia="Times New Roman" w:hAnsi="Arial Narrow" w:cs="Times New Roman"/>
          <w:i/>
          <w:sz w:val="18"/>
          <w:szCs w:val="18"/>
          <w:lang w:eastAsia="de-DE"/>
        </w:rPr>
        <w:t>mit internationalem Geschäftsverkehr</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i/>
          <w:sz w:val="18"/>
          <w:szCs w:val="18"/>
          <w:lang w:eastAsia="de-DE"/>
        </w:rPr>
      </w:pPr>
      <w:r w:rsidRPr="002D5103">
        <w:rPr>
          <w:rFonts w:ascii="Arial Narrow" w:eastAsia="Times New Roman" w:hAnsi="Arial Narrow" w:cs="Times New Roman"/>
          <w:sz w:val="18"/>
          <w:szCs w:val="18"/>
          <w:lang w:eastAsia="de-DE"/>
        </w:rPr>
        <w:t>§§ 232, 233 StGB</w:t>
      </w:r>
      <w:r w:rsidRPr="002D5103">
        <w:rPr>
          <w:rFonts w:ascii="Arial Narrow" w:eastAsia="Times New Roman" w:hAnsi="Arial Narrow" w:cs="Times New Roman"/>
          <w:i/>
          <w:sz w:val="18"/>
          <w:szCs w:val="18"/>
          <w:lang w:eastAsia="de-DE"/>
        </w:rPr>
        <w:t xml:space="preserve"> Menschenhandel</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i/>
          <w:sz w:val="18"/>
          <w:szCs w:val="18"/>
          <w:lang w:eastAsia="de-DE"/>
        </w:rPr>
      </w:pPr>
      <w:r w:rsidRPr="002D5103">
        <w:rPr>
          <w:rFonts w:ascii="Arial Narrow" w:eastAsia="Times New Roman" w:hAnsi="Arial Narrow" w:cs="Times New Roman"/>
          <w:sz w:val="18"/>
          <w:szCs w:val="18"/>
          <w:lang w:eastAsia="de-DE"/>
        </w:rPr>
        <w:t xml:space="preserve">§ 233a StGB </w:t>
      </w:r>
      <w:r w:rsidRPr="002D5103">
        <w:rPr>
          <w:rFonts w:ascii="Arial Narrow" w:eastAsia="Times New Roman" w:hAnsi="Arial Narrow" w:cs="Times New Roman"/>
          <w:i/>
          <w:sz w:val="18"/>
          <w:szCs w:val="18"/>
          <w:lang w:eastAsia="de-DE"/>
        </w:rPr>
        <w:t>Förderung des Menschenhandels</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sz w:val="18"/>
          <w:szCs w:val="18"/>
          <w:lang w:eastAsia="de-DE"/>
        </w:rPr>
      </w:pPr>
    </w:p>
    <w:p w:rsidR="002D5103" w:rsidRPr="002D5103" w:rsidRDefault="002D5103" w:rsidP="002D5103">
      <w:pPr>
        <w:tabs>
          <w:tab w:val="left" w:pos="284"/>
        </w:tabs>
        <w:spacing w:line="240" w:lineRule="auto"/>
        <w:contextualSpacing/>
        <w:jc w:val="both"/>
        <w:outlineLvl w:val="0"/>
        <w:rPr>
          <w:rFonts w:ascii="Arial Narrow" w:eastAsia="Times New Roman" w:hAnsi="Arial Narrow" w:cs="Times New Roman"/>
          <w:sz w:val="18"/>
          <w:szCs w:val="18"/>
          <w:lang w:eastAsia="de-DE"/>
        </w:rPr>
      </w:pPr>
      <w:r w:rsidRPr="002D5103">
        <w:rPr>
          <w:rFonts w:ascii="Arial Narrow" w:eastAsia="Times New Roman" w:hAnsi="Arial Narrow" w:cs="Times New Roman"/>
          <w:sz w:val="18"/>
          <w:szCs w:val="18"/>
          <w:lang w:eastAsia="de-DE"/>
        </w:rPr>
        <w:fldChar w:fldCharType="begin">
          <w:ffData>
            <w:name w:val="Kontrollkästchen3"/>
            <w:enabled/>
            <w:calcOnExit w:val="0"/>
            <w:checkBox>
              <w:sizeAuto/>
              <w:default w:val="0"/>
            </w:checkBox>
          </w:ffData>
        </w:fldChar>
      </w:r>
      <w:r w:rsidRPr="002D5103">
        <w:rPr>
          <w:rFonts w:ascii="Arial Narrow" w:eastAsia="Times New Roman" w:hAnsi="Arial Narrow" w:cs="Times New Roman"/>
          <w:sz w:val="18"/>
          <w:szCs w:val="18"/>
          <w:lang w:eastAsia="de-DE"/>
        </w:rPr>
        <w:instrText xml:space="preserve"> FORMCHECKBOX </w:instrText>
      </w:r>
      <w:r w:rsidR="00F970E0">
        <w:rPr>
          <w:rFonts w:ascii="Arial Narrow" w:eastAsia="Times New Roman" w:hAnsi="Arial Narrow" w:cs="Times New Roman"/>
          <w:sz w:val="18"/>
          <w:szCs w:val="18"/>
          <w:lang w:eastAsia="de-DE"/>
        </w:rPr>
      </w:r>
      <w:r w:rsidR="00F970E0">
        <w:rPr>
          <w:rFonts w:ascii="Arial Narrow" w:eastAsia="Times New Roman" w:hAnsi="Arial Narrow" w:cs="Times New Roman"/>
          <w:sz w:val="18"/>
          <w:szCs w:val="18"/>
          <w:lang w:eastAsia="de-DE"/>
        </w:rPr>
        <w:fldChar w:fldCharType="separate"/>
      </w:r>
      <w:r w:rsidRPr="002D5103">
        <w:rPr>
          <w:rFonts w:ascii="Arial Narrow" w:eastAsia="Times New Roman" w:hAnsi="Arial Narrow" w:cs="Times New Roman"/>
          <w:sz w:val="18"/>
          <w:szCs w:val="18"/>
          <w:lang w:eastAsia="de-DE"/>
        </w:rPr>
        <w:fldChar w:fldCharType="end"/>
      </w:r>
      <w:r w:rsidRPr="002D5103">
        <w:rPr>
          <w:rFonts w:ascii="Arial Narrow" w:eastAsia="Times New Roman" w:hAnsi="Arial Narrow" w:cs="Times New Roman"/>
          <w:sz w:val="18"/>
          <w:szCs w:val="18"/>
          <w:lang w:eastAsia="de-DE"/>
        </w:rPr>
        <w:t xml:space="preserve"> Des Weiteren liegt </w:t>
      </w:r>
      <w:r w:rsidRPr="002D5103">
        <w:rPr>
          <w:rFonts w:ascii="Arial Narrow" w:eastAsia="Times New Roman" w:hAnsi="Arial Narrow" w:cs="Times New Roman"/>
          <w:b/>
          <w:sz w:val="18"/>
          <w:szCs w:val="18"/>
          <w:lang w:eastAsia="de-DE"/>
        </w:rPr>
        <w:t>kein</w:t>
      </w:r>
      <w:r w:rsidRPr="002D5103">
        <w:rPr>
          <w:rFonts w:ascii="Arial Narrow" w:eastAsia="Times New Roman" w:hAnsi="Arial Narrow" w:cs="Times New Roman"/>
          <w:sz w:val="18"/>
          <w:szCs w:val="18"/>
          <w:lang w:eastAsia="de-DE"/>
        </w:rPr>
        <w:t xml:space="preserve"> Ausschlussgrund nach §§ 21, 23 Abs. 1, 2 AEntG, §§ 19, 21 Abs. 1, 2 MiLoG, § 21 SchwarzArbG oder § 98c AufenthG infolge der Belegung mit einer Geldbuße in Höhe von wenigstens 2.500 € bzw. infolge einer rechtskräftigen Verurteilung zu mehr als drei Monaten Freiheitsstrafe oder einer Geldstrafe von mehr als 90 Tagessätzen wegen illegaler Beschäftigung vor. Es liegen daher im Gewerbezentralregister keine Eintragungen bezüglich dieser Vorschriften oder bezüglich § 81 Abs. 1 – 3 GWB vor, die Gegenstand eines Auskunftsanspruchs nach § 150a GewO sein können.</w:t>
      </w:r>
    </w:p>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sz w:val="18"/>
          <w:szCs w:val="18"/>
          <w:lang w:eastAsia="de-DE"/>
        </w:rPr>
      </w:pPr>
    </w:p>
    <w:p w:rsidR="002D5103" w:rsidRPr="002D5103" w:rsidRDefault="002D5103" w:rsidP="002D5103">
      <w:pPr>
        <w:tabs>
          <w:tab w:val="left" w:pos="284"/>
        </w:tabs>
        <w:spacing w:line="240" w:lineRule="auto"/>
        <w:contextualSpacing/>
        <w:jc w:val="both"/>
        <w:outlineLvl w:val="0"/>
        <w:rPr>
          <w:rFonts w:ascii="Arial Narrow" w:eastAsia="Times New Roman" w:hAnsi="Arial Narrow" w:cs="Times New Roman"/>
          <w:sz w:val="18"/>
          <w:szCs w:val="18"/>
          <w:lang w:eastAsia="de-DE"/>
        </w:rPr>
      </w:pPr>
      <w:r w:rsidRPr="002D5103">
        <w:rPr>
          <w:rFonts w:ascii="Arial Narrow" w:eastAsia="Times New Roman" w:hAnsi="Arial Narrow" w:cs="Times New Roman"/>
          <w:sz w:val="18"/>
          <w:szCs w:val="18"/>
          <w:lang w:eastAsia="de-DE"/>
        </w:rPr>
        <w:t>Liegt ein fakultativer Ausschlussgrund wegen eines schuldhaften Verstoßes gegen eine der folgenden Vorschriften vor (§ 124 Abs. 1 Nr. 3 GWB)?</w:t>
      </w:r>
    </w:p>
    <w:tbl>
      <w:tblPr>
        <w:tblStyle w:val="Tabellenraster"/>
        <w:tblW w:w="0" w:type="auto"/>
        <w:tblInd w:w="108" w:type="dxa"/>
        <w:tblLook w:val="04A0" w:firstRow="1" w:lastRow="0" w:firstColumn="1" w:lastColumn="0" w:noHBand="0" w:noVBand="1"/>
      </w:tblPr>
      <w:tblGrid>
        <w:gridCol w:w="6785"/>
        <w:gridCol w:w="992"/>
        <w:gridCol w:w="1269"/>
      </w:tblGrid>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70 StGB </w:t>
            </w:r>
            <w:r w:rsidRPr="002D5103">
              <w:rPr>
                <w:rFonts w:ascii="Arial Narrow" w:hAnsi="Arial Narrow"/>
                <w:i/>
                <w:sz w:val="18"/>
                <w:szCs w:val="18"/>
              </w:rPr>
              <w:t>Anordnung des Berufsverbots</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132a StPO </w:t>
            </w:r>
            <w:r w:rsidRPr="002D5103">
              <w:rPr>
                <w:rFonts w:ascii="Arial Narrow" w:hAnsi="Arial Narrow"/>
                <w:i/>
                <w:sz w:val="18"/>
                <w:szCs w:val="18"/>
              </w:rPr>
              <w:t>Vorläufiges</w:t>
            </w:r>
            <w:r w:rsidRPr="002D5103">
              <w:rPr>
                <w:rFonts w:ascii="Arial Narrow" w:hAnsi="Arial Narrow"/>
                <w:sz w:val="18"/>
                <w:szCs w:val="18"/>
              </w:rPr>
              <w:t xml:space="preserve"> </w:t>
            </w:r>
            <w:r w:rsidRPr="002D5103">
              <w:rPr>
                <w:rFonts w:ascii="Arial Narrow" w:hAnsi="Arial Narrow"/>
                <w:i/>
                <w:sz w:val="18"/>
                <w:szCs w:val="18"/>
              </w:rPr>
              <w:t>Berufsverbot</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242 StGB </w:t>
            </w:r>
            <w:r w:rsidRPr="002D5103">
              <w:rPr>
                <w:rFonts w:ascii="Arial Narrow" w:hAnsi="Arial Narrow"/>
                <w:i/>
                <w:sz w:val="18"/>
                <w:szCs w:val="18"/>
              </w:rPr>
              <w:t>Diebstahl</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246 StGB </w:t>
            </w:r>
            <w:r w:rsidRPr="002D5103">
              <w:rPr>
                <w:rFonts w:ascii="Arial Narrow" w:hAnsi="Arial Narrow"/>
                <w:i/>
                <w:sz w:val="18"/>
                <w:szCs w:val="18"/>
              </w:rPr>
              <w:t>Unterschlagung</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253 StGB </w:t>
            </w:r>
            <w:r w:rsidRPr="002D5103">
              <w:rPr>
                <w:rFonts w:ascii="Arial Narrow" w:hAnsi="Arial Narrow"/>
                <w:i/>
                <w:sz w:val="18"/>
                <w:szCs w:val="18"/>
              </w:rPr>
              <w:t>Erpressung</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cs="Arial Narrow"/>
                <w:sz w:val="18"/>
                <w:szCs w:val="18"/>
              </w:rPr>
              <w:t>§</w:t>
            </w:r>
            <w:r w:rsidRPr="002D5103">
              <w:rPr>
                <w:rFonts w:ascii="Arial Narrow" w:hAnsi="Arial Narrow"/>
                <w:sz w:val="18"/>
                <w:szCs w:val="18"/>
              </w:rPr>
              <w:t xml:space="preserve"> 259 StGB </w:t>
            </w:r>
            <w:r w:rsidRPr="002D5103">
              <w:rPr>
                <w:rFonts w:ascii="Arial Narrow" w:hAnsi="Arial Narrow"/>
                <w:i/>
                <w:sz w:val="18"/>
                <w:szCs w:val="18"/>
              </w:rPr>
              <w:t>Hehlerei</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264 StGB </w:t>
            </w:r>
            <w:r w:rsidRPr="002D5103">
              <w:rPr>
                <w:rFonts w:ascii="Arial Narrow" w:hAnsi="Arial Narrow"/>
                <w:i/>
                <w:sz w:val="18"/>
                <w:szCs w:val="18"/>
              </w:rPr>
              <w:t>Subventionsbetrug</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265b StGB </w:t>
            </w:r>
            <w:r w:rsidRPr="002D5103">
              <w:rPr>
                <w:rFonts w:ascii="Arial Narrow" w:hAnsi="Arial Narrow"/>
                <w:i/>
                <w:sz w:val="18"/>
                <w:szCs w:val="18"/>
              </w:rPr>
              <w:t>Kreditbetrug</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266 StGB </w:t>
            </w:r>
            <w:r w:rsidRPr="002D5103">
              <w:rPr>
                <w:rFonts w:ascii="Arial Narrow" w:hAnsi="Arial Narrow"/>
                <w:i/>
                <w:sz w:val="18"/>
                <w:szCs w:val="18"/>
              </w:rPr>
              <w:t>Untreue</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267 StGB </w:t>
            </w:r>
            <w:r w:rsidRPr="002D5103">
              <w:rPr>
                <w:rFonts w:ascii="Arial Narrow" w:hAnsi="Arial Narrow"/>
                <w:i/>
                <w:sz w:val="18"/>
                <w:szCs w:val="18"/>
              </w:rPr>
              <w:t>Urkundenfälschung</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268 StGB </w:t>
            </w:r>
            <w:r w:rsidRPr="002D5103">
              <w:rPr>
                <w:rFonts w:ascii="Arial Narrow" w:hAnsi="Arial Narrow"/>
                <w:i/>
                <w:sz w:val="18"/>
                <w:szCs w:val="18"/>
              </w:rPr>
              <w:t>Fälschung technischer Aufzeichnungen</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283 – 283d StGB </w:t>
            </w:r>
            <w:r w:rsidRPr="002D5103">
              <w:rPr>
                <w:rFonts w:ascii="Arial Narrow" w:hAnsi="Arial Narrow"/>
                <w:i/>
                <w:sz w:val="18"/>
                <w:szCs w:val="18"/>
              </w:rPr>
              <w:t>Insolvenzstraftaten</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i/>
                <w:sz w:val="18"/>
                <w:szCs w:val="18"/>
              </w:rPr>
            </w:pPr>
            <w:r w:rsidRPr="002D5103">
              <w:rPr>
                <w:rFonts w:ascii="Arial Narrow" w:hAnsi="Arial Narrow"/>
                <w:sz w:val="18"/>
                <w:szCs w:val="18"/>
              </w:rPr>
              <w:t xml:space="preserve">§ 298 StGB </w:t>
            </w:r>
            <w:r w:rsidRPr="002D5103">
              <w:rPr>
                <w:rFonts w:ascii="Arial Narrow" w:hAnsi="Arial Narrow"/>
                <w:i/>
                <w:sz w:val="18"/>
                <w:szCs w:val="18"/>
              </w:rPr>
              <w:t>Wettbewerbsbeschränkende Absprachen bei Ausschreibungen</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i/>
                <w:sz w:val="18"/>
                <w:szCs w:val="18"/>
              </w:rPr>
            </w:pPr>
            <w:r w:rsidRPr="002D5103">
              <w:rPr>
                <w:rFonts w:ascii="Arial Narrow" w:hAnsi="Arial Narrow"/>
                <w:sz w:val="18"/>
                <w:szCs w:val="18"/>
              </w:rPr>
              <w:t xml:space="preserve">§ 306 StGB </w:t>
            </w:r>
            <w:r w:rsidRPr="002D5103">
              <w:rPr>
                <w:rFonts w:ascii="Arial Narrow" w:hAnsi="Arial Narrow"/>
                <w:i/>
                <w:sz w:val="18"/>
                <w:szCs w:val="18"/>
              </w:rPr>
              <w:t>Brandstiftung</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i/>
                <w:sz w:val="18"/>
                <w:szCs w:val="18"/>
              </w:rPr>
            </w:pPr>
            <w:r w:rsidRPr="002D5103">
              <w:rPr>
                <w:rFonts w:ascii="Arial Narrow" w:hAnsi="Arial Narrow"/>
                <w:sz w:val="18"/>
                <w:szCs w:val="18"/>
              </w:rPr>
              <w:t xml:space="preserve">§ 319 StGB </w:t>
            </w:r>
            <w:r w:rsidRPr="002D5103">
              <w:rPr>
                <w:rFonts w:ascii="Arial Narrow" w:hAnsi="Arial Narrow"/>
                <w:i/>
                <w:sz w:val="18"/>
                <w:szCs w:val="18"/>
              </w:rPr>
              <w:t>Baugefährdung</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324, 324a StGB </w:t>
            </w:r>
            <w:r w:rsidRPr="002D5103">
              <w:rPr>
                <w:rFonts w:ascii="Arial Narrow" w:hAnsi="Arial Narrow"/>
                <w:i/>
                <w:sz w:val="18"/>
                <w:szCs w:val="18"/>
              </w:rPr>
              <w:t>Gewässer- oder Bodenverunreinigung</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sz w:val="18"/>
                <w:szCs w:val="18"/>
              </w:rPr>
            </w:pPr>
            <w:r w:rsidRPr="002D5103">
              <w:rPr>
                <w:rFonts w:ascii="Arial Narrow" w:hAnsi="Arial Narrow"/>
                <w:sz w:val="18"/>
                <w:szCs w:val="18"/>
              </w:rPr>
              <w:t xml:space="preserve">§ 326 StGB </w:t>
            </w:r>
            <w:r w:rsidRPr="002D5103">
              <w:rPr>
                <w:rFonts w:ascii="Arial Narrow" w:hAnsi="Arial Narrow"/>
                <w:i/>
                <w:sz w:val="18"/>
                <w:szCs w:val="18"/>
              </w:rPr>
              <w:t>Unerlaubter Umgang mit Abfällen</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i/>
                <w:sz w:val="18"/>
                <w:szCs w:val="18"/>
              </w:rPr>
            </w:pPr>
            <w:r w:rsidRPr="002D5103">
              <w:rPr>
                <w:rFonts w:ascii="Arial Narrow" w:hAnsi="Arial Narrow"/>
                <w:sz w:val="18"/>
                <w:szCs w:val="18"/>
              </w:rPr>
              <w:t xml:space="preserve">§ 35 GewO </w:t>
            </w:r>
            <w:r w:rsidRPr="002D5103">
              <w:rPr>
                <w:rFonts w:ascii="Arial Narrow" w:hAnsi="Arial Narrow"/>
                <w:i/>
                <w:sz w:val="18"/>
                <w:szCs w:val="18"/>
              </w:rPr>
              <w:t>Gewerbeuntersagung wegen Unzuverlässigkeit</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i/>
                <w:sz w:val="18"/>
                <w:szCs w:val="18"/>
              </w:rPr>
            </w:pPr>
            <w:r w:rsidRPr="002D5103">
              <w:rPr>
                <w:rFonts w:ascii="Arial Narrow" w:hAnsi="Arial Narrow"/>
                <w:sz w:val="18"/>
                <w:szCs w:val="18"/>
              </w:rPr>
              <w:t xml:space="preserve">§ 17 Abs. 2 UWG </w:t>
            </w:r>
            <w:r w:rsidRPr="002D5103">
              <w:rPr>
                <w:rFonts w:ascii="Arial Narrow" w:hAnsi="Arial Narrow"/>
                <w:i/>
                <w:sz w:val="18"/>
                <w:szCs w:val="18"/>
              </w:rPr>
              <w:t>Verrat von Geschäfts- und Betriebsgeheimnissen</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r w:rsidR="002D5103" w:rsidRPr="002D5103" w:rsidTr="002D5103">
        <w:tc>
          <w:tcPr>
            <w:tcW w:w="6785" w:type="dxa"/>
            <w:vAlign w:val="center"/>
          </w:tcPr>
          <w:p w:rsidR="002D5103" w:rsidRPr="002D5103" w:rsidRDefault="002D5103" w:rsidP="002D5103">
            <w:pPr>
              <w:tabs>
                <w:tab w:val="left" w:pos="284"/>
              </w:tabs>
              <w:outlineLvl w:val="0"/>
              <w:rPr>
                <w:rFonts w:ascii="Arial Narrow" w:hAnsi="Arial Narrow"/>
                <w:i/>
                <w:sz w:val="18"/>
                <w:szCs w:val="18"/>
              </w:rPr>
            </w:pPr>
            <w:r w:rsidRPr="002D5103">
              <w:rPr>
                <w:rFonts w:ascii="Arial Narrow" w:hAnsi="Arial Narrow"/>
                <w:sz w:val="18"/>
                <w:szCs w:val="18"/>
              </w:rPr>
              <w:t xml:space="preserve">§ 1 GWB </w:t>
            </w:r>
            <w:r w:rsidRPr="002D5103">
              <w:rPr>
                <w:rFonts w:ascii="Arial Narrow" w:hAnsi="Arial Narrow"/>
                <w:i/>
                <w:sz w:val="18"/>
                <w:szCs w:val="18"/>
              </w:rPr>
              <w:t>Verbot wettbewerbsbeschränkender Vereinbarungen</w:t>
            </w:r>
          </w:p>
        </w:tc>
        <w:tc>
          <w:tcPr>
            <w:tcW w:w="992"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Ja</w:t>
            </w:r>
          </w:p>
        </w:tc>
        <w:tc>
          <w:tcPr>
            <w:tcW w:w="1269" w:type="dxa"/>
            <w:vAlign w:val="center"/>
          </w:tcPr>
          <w:p w:rsidR="002D5103" w:rsidRPr="002D5103" w:rsidRDefault="002D5103" w:rsidP="002D5103">
            <w:pPr>
              <w:tabs>
                <w:tab w:val="left" w:pos="284"/>
              </w:tabs>
              <w:ind w:left="360"/>
              <w:contextualSpacing/>
              <w:jc w:val="both"/>
              <w:outlineLvl w:val="0"/>
              <w:rPr>
                <w:rFonts w:ascii="Arial Narrow" w:hAnsi="Arial Narrow"/>
                <w:sz w:val="18"/>
                <w:szCs w:val="18"/>
              </w:rPr>
            </w:pPr>
            <w:r w:rsidRPr="002D5103">
              <w:rPr>
                <w:rFonts w:ascii="Arial Narrow" w:hAnsi="Arial Narrow"/>
                <w:sz w:val="18"/>
                <w:szCs w:val="18"/>
              </w:rPr>
              <w:fldChar w:fldCharType="begin">
                <w:ffData>
                  <w:name w:val="Kontrollkästchen3"/>
                  <w:enabled/>
                  <w:calcOnExit w:val="0"/>
                  <w:checkBox>
                    <w:sizeAuto/>
                    <w:default w:val="0"/>
                  </w:checkBox>
                </w:ffData>
              </w:fldChar>
            </w:r>
            <w:r w:rsidRPr="002D5103">
              <w:rPr>
                <w:rFonts w:ascii="Arial Narrow" w:hAnsi="Arial Narrow"/>
                <w:sz w:val="18"/>
                <w:szCs w:val="18"/>
              </w:rPr>
              <w:instrText xml:space="preserve"> FORMCHECKBOX </w:instrText>
            </w:r>
            <w:r w:rsidR="00F970E0">
              <w:rPr>
                <w:rFonts w:ascii="Arial Narrow" w:hAnsi="Arial Narrow"/>
                <w:sz w:val="18"/>
                <w:szCs w:val="18"/>
              </w:rPr>
            </w:r>
            <w:r w:rsidR="00F970E0">
              <w:rPr>
                <w:rFonts w:ascii="Arial Narrow" w:hAnsi="Arial Narrow"/>
                <w:sz w:val="18"/>
                <w:szCs w:val="18"/>
              </w:rPr>
              <w:fldChar w:fldCharType="separate"/>
            </w:r>
            <w:r w:rsidRPr="002D5103">
              <w:rPr>
                <w:rFonts w:ascii="Arial Narrow" w:hAnsi="Arial Narrow"/>
                <w:sz w:val="18"/>
                <w:szCs w:val="18"/>
              </w:rPr>
              <w:fldChar w:fldCharType="end"/>
            </w:r>
            <w:r w:rsidRPr="002D5103">
              <w:rPr>
                <w:rFonts w:ascii="Arial Narrow" w:hAnsi="Arial Narrow"/>
                <w:sz w:val="18"/>
                <w:szCs w:val="18"/>
              </w:rPr>
              <w:t xml:space="preserve"> Nein</w:t>
            </w:r>
          </w:p>
        </w:tc>
      </w:tr>
    </w:tbl>
    <w:p w:rsidR="002D5103" w:rsidRPr="002D5103" w:rsidRDefault="002D5103" w:rsidP="002D5103">
      <w:pPr>
        <w:tabs>
          <w:tab w:val="left" w:pos="284"/>
        </w:tabs>
        <w:spacing w:line="240" w:lineRule="auto"/>
        <w:ind w:left="360"/>
        <w:contextualSpacing/>
        <w:jc w:val="both"/>
        <w:outlineLvl w:val="0"/>
        <w:rPr>
          <w:rFonts w:ascii="Arial Narrow" w:eastAsia="Times New Roman" w:hAnsi="Arial Narrow" w:cs="Times New Roman"/>
          <w:sz w:val="18"/>
          <w:szCs w:val="18"/>
          <w:lang w:eastAsia="de-DE"/>
        </w:rPr>
      </w:pPr>
    </w:p>
    <w:tbl>
      <w:tblPr>
        <w:tblStyle w:val="Tabellenraster"/>
        <w:tblpPr w:leftFromText="141" w:rightFromText="141" w:vertAnchor="text" w:horzAnchor="margin" w:tblpXSpec="right" w:tblpY="41"/>
        <w:tblW w:w="172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51"/>
        <w:gridCol w:w="872"/>
      </w:tblGrid>
      <w:tr w:rsidR="002D5103" w:rsidRPr="002D5103" w:rsidTr="002D5103">
        <w:trPr>
          <w:trHeight w:val="560"/>
        </w:trPr>
        <w:tc>
          <w:tcPr>
            <w:tcW w:w="851" w:type="dxa"/>
          </w:tcPr>
          <w:p w:rsidR="00093677" w:rsidRDefault="002D5103" w:rsidP="00093677">
            <w:pPr>
              <w:tabs>
                <w:tab w:val="left" w:pos="284"/>
              </w:tabs>
              <w:spacing w:line="360" w:lineRule="auto"/>
              <w:jc w:val="center"/>
              <w:rPr>
                <w:rFonts w:ascii="Arial Narrow" w:hAnsi="Arial Narrow" w:cs="Arial"/>
                <w:sz w:val="18"/>
                <w:szCs w:val="18"/>
              </w:rPr>
            </w:pPr>
            <w:r w:rsidRPr="002D5103">
              <w:rPr>
                <w:rFonts w:ascii="Arial Narrow" w:hAnsi="Arial Narrow" w:cs="Arial"/>
                <w:sz w:val="18"/>
                <w:szCs w:val="18"/>
              </w:rPr>
              <w:t>Ja</w:t>
            </w:r>
          </w:p>
          <w:p w:rsidR="002D5103" w:rsidRPr="002D5103" w:rsidRDefault="002D5103" w:rsidP="00093677">
            <w:pPr>
              <w:tabs>
                <w:tab w:val="left" w:pos="284"/>
              </w:tabs>
              <w:spacing w:line="360" w:lineRule="auto"/>
              <w:jc w:val="center"/>
              <w:rPr>
                <w:rFonts w:ascii="Arial Narrow" w:hAnsi="Arial Narrow" w:cs="Arial"/>
                <w:sz w:val="18"/>
                <w:szCs w:val="18"/>
              </w:rPr>
            </w:pPr>
            <w:r w:rsidRPr="002D5103">
              <w:rPr>
                <w:rFonts w:ascii="Arial Narrow" w:hAnsi="Arial Narrow" w:cs="Arial"/>
                <w:sz w:val="18"/>
                <w:szCs w:val="18"/>
              </w:rPr>
              <w:fldChar w:fldCharType="begin">
                <w:ffData>
                  <w:name w:val="Kontrollkästchen1"/>
                  <w:enabled/>
                  <w:calcOnExit w:val="0"/>
                  <w:checkBox>
                    <w:sizeAuto/>
                    <w:default w:val="0"/>
                  </w:checkBox>
                </w:ffData>
              </w:fldChar>
            </w:r>
            <w:r w:rsidRPr="002D5103">
              <w:rPr>
                <w:rFonts w:ascii="Arial Narrow" w:hAnsi="Arial Narrow" w:cs="Arial"/>
                <w:sz w:val="18"/>
                <w:szCs w:val="18"/>
              </w:rPr>
              <w:instrText xml:space="preserve"> FORMCHECKBOX </w:instrText>
            </w:r>
            <w:r w:rsidR="00F970E0">
              <w:rPr>
                <w:rFonts w:ascii="Arial Narrow" w:hAnsi="Arial Narrow" w:cs="Arial"/>
                <w:sz w:val="18"/>
                <w:szCs w:val="18"/>
              </w:rPr>
            </w:r>
            <w:r w:rsidR="00F970E0">
              <w:rPr>
                <w:rFonts w:ascii="Arial Narrow" w:hAnsi="Arial Narrow" w:cs="Arial"/>
                <w:sz w:val="18"/>
                <w:szCs w:val="18"/>
              </w:rPr>
              <w:fldChar w:fldCharType="separate"/>
            </w:r>
            <w:r w:rsidRPr="002D5103">
              <w:rPr>
                <w:rFonts w:ascii="Arial Narrow" w:hAnsi="Arial Narrow" w:cs="Arial"/>
                <w:sz w:val="18"/>
                <w:szCs w:val="18"/>
              </w:rPr>
              <w:fldChar w:fldCharType="end"/>
            </w:r>
          </w:p>
        </w:tc>
        <w:tc>
          <w:tcPr>
            <w:tcW w:w="872" w:type="dxa"/>
          </w:tcPr>
          <w:p w:rsidR="002D5103" w:rsidRPr="002D5103" w:rsidRDefault="002D5103" w:rsidP="002D5103">
            <w:pPr>
              <w:tabs>
                <w:tab w:val="left" w:pos="284"/>
              </w:tabs>
              <w:spacing w:line="360" w:lineRule="auto"/>
              <w:jc w:val="center"/>
              <w:rPr>
                <w:rFonts w:ascii="Arial Narrow" w:hAnsi="Arial Narrow" w:cs="Arial"/>
                <w:sz w:val="18"/>
                <w:szCs w:val="18"/>
              </w:rPr>
            </w:pPr>
            <w:r w:rsidRPr="002D5103">
              <w:rPr>
                <w:rFonts w:ascii="Arial Narrow" w:hAnsi="Arial Narrow" w:cs="Arial"/>
                <w:sz w:val="18"/>
                <w:szCs w:val="18"/>
              </w:rPr>
              <w:t>Nein</w:t>
            </w:r>
          </w:p>
          <w:p w:rsidR="002D5103" w:rsidRPr="002D5103" w:rsidRDefault="002D5103" w:rsidP="002D5103">
            <w:pPr>
              <w:spacing w:line="360" w:lineRule="auto"/>
              <w:jc w:val="center"/>
              <w:rPr>
                <w:rFonts w:ascii="Arial Narrow" w:hAnsi="Arial Narrow" w:cs="Arial"/>
                <w:sz w:val="18"/>
                <w:szCs w:val="18"/>
              </w:rPr>
            </w:pPr>
            <w:r w:rsidRPr="002D5103">
              <w:rPr>
                <w:rFonts w:ascii="Arial Narrow" w:hAnsi="Arial Narrow" w:cs="Arial"/>
                <w:sz w:val="18"/>
                <w:szCs w:val="18"/>
              </w:rPr>
              <w:fldChar w:fldCharType="begin">
                <w:ffData>
                  <w:name w:val="Kontrollkästchen1"/>
                  <w:enabled/>
                  <w:calcOnExit w:val="0"/>
                  <w:checkBox>
                    <w:sizeAuto/>
                    <w:default w:val="0"/>
                  </w:checkBox>
                </w:ffData>
              </w:fldChar>
            </w:r>
            <w:r w:rsidRPr="002D5103">
              <w:rPr>
                <w:rFonts w:ascii="Arial Narrow" w:hAnsi="Arial Narrow" w:cs="Arial"/>
                <w:sz w:val="18"/>
                <w:szCs w:val="18"/>
              </w:rPr>
              <w:instrText xml:space="preserve"> FORMCHECKBOX </w:instrText>
            </w:r>
            <w:r w:rsidR="00F970E0">
              <w:rPr>
                <w:rFonts w:ascii="Arial Narrow" w:hAnsi="Arial Narrow" w:cs="Arial"/>
                <w:sz w:val="18"/>
                <w:szCs w:val="18"/>
              </w:rPr>
            </w:r>
            <w:r w:rsidR="00F970E0">
              <w:rPr>
                <w:rFonts w:ascii="Arial Narrow" w:hAnsi="Arial Narrow" w:cs="Arial"/>
                <w:sz w:val="18"/>
                <w:szCs w:val="18"/>
              </w:rPr>
              <w:fldChar w:fldCharType="separate"/>
            </w:r>
            <w:r w:rsidRPr="002D5103">
              <w:rPr>
                <w:rFonts w:ascii="Arial Narrow" w:hAnsi="Arial Narrow" w:cs="Arial"/>
                <w:sz w:val="18"/>
                <w:szCs w:val="18"/>
              </w:rPr>
              <w:fldChar w:fldCharType="end"/>
            </w:r>
          </w:p>
        </w:tc>
      </w:tr>
    </w:tbl>
    <w:p w:rsidR="002D5103" w:rsidRPr="002D5103" w:rsidRDefault="002D5103" w:rsidP="002D5103">
      <w:pPr>
        <w:tabs>
          <w:tab w:val="left" w:pos="284"/>
        </w:tabs>
        <w:spacing w:line="240" w:lineRule="auto"/>
        <w:ind w:left="284" w:hanging="284"/>
        <w:jc w:val="both"/>
        <w:rPr>
          <w:rFonts w:ascii="Arial Narrow" w:eastAsia="Times New Roman" w:hAnsi="Arial Narrow" w:cs="Times New Roman"/>
          <w:sz w:val="19"/>
          <w:szCs w:val="19"/>
          <w:lang w:eastAsia="de-DE"/>
        </w:rPr>
      </w:pPr>
      <w:r w:rsidRPr="002D5103">
        <w:rPr>
          <w:rFonts w:ascii="Arial Narrow" w:eastAsia="Times New Roman" w:hAnsi="Arial Narrow" w:cs="Times New Roman"/>
          <w:sz w:val="19"/>
          <w:szCs w:val="19"/>
          <w:lang w:eastAsia="de-DE"/>
        </w:rPr>
        <w:tab/>
      </w:r>
    </w:p>
    <w:p w:rsidR="002D5103" w:rsidRDefault="002D5103" w:rsidP="002D5103">
      <w:pPr>
        <w:tabs>
          <w:tab w:val="left" w:pos="284"/>
        </w:tabs>
        <w:spacing w:line="240" w:lineRule="auto"/>
        <w:ind w:left="284" w:hanging="284"/>
        <w:jc w:val="both"/>
        <w:rPr>
          <w:rFonts w:ascii="Arial Narrow" w:eastAsia="Times New Roman" w:hAnsi="Arial Narrow" w:cs="Times New Roman"/>
          <w:sz w:val="19"/>
          <w:szCs w:val="19"/>
          <w:lang w:eastAsia="de-DE"/>
        </w:rPr>
      </w:pPr>
      <w:r w:rsidRPr="002D5103">
        <w:rPr>
          <w:rFonts w:ascii="Arial Narrow" w:eastAsia="Times New Roman" w:hAnsi="Arial Narrow" w:cs="Times New Roman"/>
          <w:sz w:val="19"/>
          <w:szCs w:val="19"/>
          <w:lang w:eastAsia="de-DE"/>
        </w:rPr>
        <w:t xml:space="preserve">Wurde bei der Ausführung öffentlicher Aufträge schon einmal gegen geltende </w:t>
      </w:r>
      <w:r>
        <w:rPr>
          <w:rFonts w:ascii="Arial Narrow" w:eastAsia="Times New Roman" w:hAnsi="Arial Narrow" w:cs="Times New Roman"/>
          <w:sz w:val="19"/>
          <w:szCs w:val="19"/>
          <w:lang w:eastAsia="de-DE"/>
        </w:rPr>
        <w:tab/>
        <w:t xml:space="preserve">umwelt-, </w:t>
      </w:r>
    </w:p>
    <w:p w:rsidR="002D5103" w:rsidRPr="002D5103" w:rsidRDefault="002D5103" w:rsidP="002D5103">
      <w:pPr>
        <w:tabs>
          <w:tab w:val="left" w:pos="284"/>
        </w:tabs>
        <w:spacing w:line="240" w:lineRule="auto"/>
        <w:ind w:left="284" w:hanging="284"/>
        <w:jc w:val="both"/>
        <w:rPr>
          <w:rFonts w:ascii="Arial Narrow" w:eastAsia="Times New Roman" w:hAnsi="Arial Narrow" w:cs="Times New Roman"/>
          <w:sz w:val="19"/>
          <w:szCs w:val="19"/>
          <w:lang w:eastAsia="de-DE"/>
        </w:rPr>
      </w:pPr>
      <w:r>
        <w:rPr>
          <w:rFonts w:ascii="Arial Narrow" w:eastAsia="Times New Roman" w:hAnsi="Arial Narrow" w:cs="Times New Roman"/>
          <w:sz w:val="19"/>
          <w:szCs w:val="19"/>
          <w:lang w:eastAsia="de-DE"/>
        </w:rPr>
        <w:t xml:space="preserve">sozial- oder </w:t>
      </w:r>
      <w:r w:rsidRPr="002D5103">
        <w:rPr>
          <w:rFonts w:ascii="Arial Narrow" w:eastAsia="Times New Roman" w:hAnsi="Arial Narrow" w:cs="Times New Roman"/>
          <w:sz w:val="19"/>
          <w:szCs w:val="19"/>
          <w:lang w:eastAsia="de-DE"/>
        </w:rPr>
        <w:t xml:space="preserve">arbeitsrechtliche </w:t>
      </w:r>
      <w:r>
        <w:rPr>
          <w:rFonts w:ascii="Arial Narrow" w:eastAsia="Times New Roman" w:hAnsi="Arial Narrow" w:cs="Times New Roman"/>
          <w:sz w:val="19"/>
          <w:szCs w:val="19"/>
          <w:lang w:eastAsia="de-DE"/>
        </w:rPr>
        <w:t>V</w:t>
      </w:r>
      <w:r w:rsidRPr="002D5103">
        <w:rPr>
          <w:rFonts w:ascii="Arial Narrow" w:eastAsia="Times New Roman" w:hAnsi="Arial Narrow" w:cs="Times New Roman"/>
          <w:sz w:val="19"/>
          <w:szCs w:val="19"/>
          <w:lang w:eastAsia="de-DE"/>
        </w:rPr>
        <w:t>orschriften verstoßen? (Verstoß im Sinne des § 124 Abs. 1 Nr. 1 GWB)</w:t>
      </w:r>
      <w:r w:rsidRPr="002D5103">
        <w:rPr>
          <w:rFonts w:ascii="Arial Narrow" w:eastAsia="Times New Roman" w:hAnsi="Arial Narrow" w:cs="Times New Roman"/>
          <w:sz w:val="19"/>
          <w:szCs w:val="19"/>
          <w:lang w:eastAsia="de-DE"/>
        </w:rPr>
        <w:tab/>
      </w:r>
    </w:p>
    <w:p w:rsidR="002D5103" w:rsidRPr="002D5103" w:rsidRDefault="002D5103" w:rsidP="002D5103">
      <w:pPr>
        <w:tabs>
          <w:tab w:val="left" w:pos="284"/>
        </w:tabs>
        <w:spacing w:line="240" w:lineRule="auto"/>
        <w:ind w:left="284" w:hanging="284"/>
        <w:jc w:val="both"/>
        <w:rPr>
          <w:rFonts w:ascii="Arial Narrow" w:eastAsia="Times New Roman" w:hAnsi="Arial Narrow" w:cs="Times New Roman"/>
          <w:sz w:val="19"/>
          <w:szCs w:val="19"/>
          <w:lang w:eastAsia="de-DE"/>
        </w:rPr>
      </w:pPr>
    </w:p>
    <w:p w:rsidR="002D5103" w:rsidRPr="002D5103" w:rsidRDefault="002D5103" w:rsidP="002D5103">
      <w:pPr>
        <w:tabs>
          <w:tab w:val="left" w:pos="284"/>
        </w:tabs>
        <w:spacing w:line="240" w:lineRule="auto"/>
        <w:ind w:left="284" w:hanging="284"/>
        <w:jc w:val="both"/>
        <w:rPr>
          <w:rFonts w:ascii="Arial Narrow" w:eastAsia="Times New Roman" w:hAnsi="Arial Narrow" w:cs="Times New Roman"/>
          <w:sz w:val="19"/>
          <w:szCs w:val="19"/>
          <w:lang w:eastAsia="de-DE"/>
        </w:rPr>
      </w:pPr>
    </w:p>
    <w:p w:rsidR="002D5103" w:rsidRPr="002D5103" w:rsidRDefault="002D5103" w:rsidP="002D5103">
      <w:pPr>
        <w:spacing w:line="240" w:lineRule="auto"/>
        <w:jc w:val="both"/>
        <w:rPr>
          <w:rFonts w:ascii="Arial Narrow" w:eastAsia="Times New Roman" w:hAnsi="Arial Narrow" w:cs="Times New Roman"/>
          <w:sz w:val="19"/>
          <w:szCs w:val="19"/>
          <w:lang w:eastAsia="de-DE"/>
        </w:rPr>
      </w:pPr>
    </w:p>
    <w:p w:rsidR="00D23871" w:rsidRDefault="00D23871" w:rsidP="002D5103">
      <w:pPr>
        <w:spacing w:line="240" w:lineRule="auto"/>
        <w:jc w:val="both"/>
        <w:rPr>
          <w:rFonts w:cs="Arial"/>
          <w:szCs w:val="20"/>
        </w:rPr>
      </w:pPr>
      <w:r w:rsidRPr="009C7B63">
        <w:rPr>
          <w:rFonts w:cs="Arial"/>
          <w:szCs w:val="20"/>
        </w:rPr>
        <w:fldChar w:fldCharType="begin">
          <w:ffData>
            <w:name w:val=""/>
            <w:enabled/>
            <w:calcOnExit w:val="0"/>
            <w:textInput/>
          </w:ffData>
        </w:fldChar>
      </w:r>
      <w:r w:rsidRPr="009C7B63">
        <w:rPr>
          <w:rFonts w:cs="Arial"/>
          <w:szCs w:val="20"/>
        </w:rPr>
        <w:instrText xml:space="preserve"> FORMTEXT </w:instrText>
      </w:r>
      <w:r w:rsidRPr="009C7B63">
        <w:rPr>
          <w:rFonts w:cs="Arial"/>
          <w:szCs w:val="20"/>
        </w:rPr>
      </w:r>
      <w:r w:rsidRPr="009C7B63">
        <w:rPr>
          <w:rFonts w:cs="Arial"/>
          <w:szCs w:val="20"/>
        </w:rPr>
        <w:fldChar w:fldCharType="separate"/>
      </w:r>
      <w:r w:rsidRPr="009C7B63">
        <w:rPr>
          <w:rFonts w:cs="Arial"/>
          <w:szCs w:val="20"/>
        </w:rPr>
        <w:t> </w:t>
      </w:r>
      <w:r w:rsidRPr="009C7B63">
        <w:rPr>
          <w:rFonts w:cs="Arial"/>
          <w:szCs w:val="20"/>
        </w:rPr>
        <w:t> </w:t>
      </w:r>
      <w:r w:rsidRPr="009C7B63">
        <w:rPr>
          <w:rFonts w:cs="Arial"/>
          <w:szCs w:val="20"/>
        </w:rPr>
        <w:t> </w:t>
      </w:r>
      <w:r w:rsidRPr="009C7B63">
        <w:rPr>
          <w:rFonts w:cs="Arial"/>
          <w:szCs w:val="20"/>
        </w:rPr>
        <w:t> </w:t>
      </w:r>
      <w:r w:rsidRPr="009C7B63">
        <w:rPr>
          <w:rFonts w:cs="Arial"/>
          <w:szCs w:val="20"/>
        </w:rPr>
        <w:t> </w:t>
      </w:r>
      <w:r w:rsidRPr="009C7B63">
        <w:rPr>
          <w:rFonts w:cs="Arial"/>
          <w:szCs w:val="20"/>
        </w:rPr>
        <w:fldChar w:fldCharType="end"/>
      </w:r>
    </w:p>
    <w:p w:rsidR="002D5103" w:rsidRPr="002D5103" w:rsidRDefault="002D5103" w:rsidP="002D5103">
      <w:pPr>
        <w:spacing w:line="240" w:lineRule="auto"/>
        <w:jc w:val="both"/>
        <w:rPr>
          <w:rFonts w:ascii="Arial Narrow" w:eastAsia="Times New Roman" w:hAnsi="Arial Narrow" w:cs="Times New Roman"/>
          <w:b/>
          <w:sz w:val="19"/>
          <w:szCs w:val="19"/>
          <w:lang w:eastAsia="de-DE"/>
        </w:rPr>
      </w:pPr>
      <w:r w:rsidRPr="002D5103">
        <w:rPr>
          <w:rFonts w:ascii="Arial Narrow" w:eastAsia="Times New Roman" w:hAnsi="Arial Narrow" w:cs="Times New Roman"/>
          <w:b/>
          <w:sz w:val="19"/>
          <w:szCs w:val="19"/>
          <w:lang w:eastAsia="de-DE"/>
        </w:rPr>
        <w:t>_________________________________________________________________________________________</w:t>
      </w:r>
    </w:p>
    <w:p w:rsidR="002D5103" w:rsidRPr="0018492E" w:rsidRDefault="002D5103" w:rsidP="00097100">
      <w:pPr>
        <w:spacing w:line="240" w:lineRule="auto"/>
        <w:jc w:val="both"/>
        <w:rPr>
          <w:rFonts w:ascii="Arial Narrow" w:eastAsia="Times New Roman" w:hAnsi="Arial Narrow" w:cs="Times New Roman"/>
          <w:sz w:val="17"/>
          <w:szCs w:val="17"/>
          <w:lang w:eastAsia="de-DE"/>
        </w:rPr>
      </w:pPr>
      <w:r w:rsidRPr="002D5103">
        <w:rPr>
          <w:rFonts w:ascii="Arial Narrow" w:eastAsia="Times New Roman" w:hAnsi="Arial Narrow" w:cs="Times New Roman"/>
          <w:sz w:val="19"/>
          <w:szCs w:val="19"/>
          <w:lang w:eastAsia="de-DE"/>
        </w:rPr>
        <w:t>Ort, Datum, Stempel, Unterschrift</w:t>
      </w:r>
      <w:r w:rsidR="0005022A">
        <w:rPr>
          <w:rFonts w:ascii="Arial Narrow" w:eastAsia="Times New Roman" w:hAnsi="Arial Narrow" w:cs="Times New Roman"/>
          <w:sz w:val="19"/>
          <w:szCs w:val="19"/>
          <w:lang w:eastAsia="de-DE"/>
        </w:rPr>
        <w:t xml:space="preserve"> </w:t>
      </w:r>
      <w:r w:rsidR="0005022A">
        <w:rPr>
          <w:rFonts w:cs="Arial"/>
          <w:sz w:val="16"/>
        </w:rPr>
        <w:t>(bei elektronischen Angeboten in Textform: Name der erklärenden Person)</w:t>
      </w:r>
      <w:r w:rsidR="0018492E">
        <w:rPr>
          <w:rFonts w:ascii="Arial Narrow" w:eastAsia="Times New Roman" w:hAnsi="Arial Narrow" w:cs="Times New Roman"/>
          <w:sz w:val="19"/>
          <w:szCs w:val="19"/>
          <w:lang w:eastAsia="de-DE"/>
        </w:rPr>
        <w:t xml:space="preserve"> </w:t>
      </w:r>
      <w:r w:rsidR="0018492E" w:rsidRPr="0018492E">
        <w:rPr>
          <w:rFonts w:ascii="Arial Narrow" w:eastAsia="Times New Roman" w:hAnsi="Arial Narrow" w:cs="Times New Roman"/>
          <w:sz w:val="17"/>
          <w:szCs w:val="17"/>
          <w:lang w:eastAsia="de-DE"/>
        </w:rPr>
        <w:t xml:space="preserve">*) Nur erforderlich, wenn die </w:t>
      </w:r>
      <w:r w:rsidR="0005022A">
        <w:rPr>
          <w:rFonts w:ascii="Arial Narrow" w:eastAsia="Times New Roman" w:hAnsi="Arial Narrow" w:cs="Times New Roman"/>
          <w:sz w:val="17"/>
          <w:szCs w:val="17"/>
          <w:lang w:eastAsia="de-DE"/>
        </w:rPr>
        <w:t>E</w:t>
      </w:r>
      <w:r w:rsidR="0018492E" w:rsidRPr="0018492E">
        <w:rPr>
          <w:rFonts w:ascii="Arial Narrow" w:eastAsia="Times New Roman" w:hAnsi="Arial Narrow" w:cs="Times New Roman"/>
          <w:sz w:val="17"/>
          <w:szCs w:val="17"/>
          <w:lang w:eastAsia="de-DE"/>
        </w:rPr>
        <w:t>rklärung nicht gleichzeitig mit dem Angebot vorgelegt wird</w:t>
      </w:r>
    </w:p>
    <w:sectPr w:rsidR="002D5103" w:rsidRPr="0018492E">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103" w:rsidRDefault="002D5103" w:rsidP="002D5103">
      <w:pPr>
        <w:spacing w:line="240" w:lineRule="auto"/>
      </w:pPr>
      <w:r>
        <w:separator/>
      </w:r>
    </w:p>
  </w:endnote>
  <w:endnote w:type="continuationSeparator" w:id="0">
    <w:p w:rsidR="002D5103" w:rsidRDefault="002D5103" w:rsidP="002D51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073" w:rsidRPr="001F1517" w:rsidRDefault="001F1517">
    <w:pPr>
      <w:pStyle w:val="Fuzeile"/>
      <w:rPr>
        <w:sz w:val="16"/>
      </w:rPr>
    </w:pPr>
    <w:r w:rsidRPr="001F1517">
      <w:rPr>
        <w:sz w:val="16"/>
      </w:rPr>
      <w:t>Stand 0</w:t>
    </w:r>
    <w:r w:rsidR="0005022A">
      <w:rPr>
        <w:sz w:val="16"/>
      </w:rPr>
      <w:t>5</w:t>
    </w:r>
    <w:r w:rsidRPr="001F1517">
      <w:rPr>
        <w:sz w:val="16"/>
      </w:rPr>
      <w:t>.202</w:t>
    </w:r>
    <w:r w:rsidR="0005022A">
      <w:rPr>
        <w:sz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103" w:rsidRDefault="002D5103" w:rsidP="002D5103">
      <w:pPr>
        <w:spacing w:line="240" w:lineRule="auto"/>
      </w:pPr>
      <w:r>
        <w:separator/>
      </w:r>
    </w:p>
  </w:footnote>
  <w:footnote w:type="continuationSeparator" w:id="0">
    <w:p w:rsidR="002D5103" w:rsidRDefault="002D5103" w:rsidP="002D51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103" w:rsidRDefault="008E0073">
    <w:pPr>
      <w:pStyle w:val="Kopfzeile"/>
    </w:pPr>
    <w:r>
      <w:rPr>
        <w:noProof/>
        <w:lang w:eastAsia="de-DE"/>
      </w:rPr>
      <w:drawing>
        <wp:inline distT="0" distB="0" distL="0" distR="0" wp14:anchorId="0554A678" wp14:editId="1B8307B6">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153FC5">
      <w:tab/>
    </w:r>
    <w:r w:rsidR="00153FC5">
      <w:tab/>
    </w:r>
    <w:r w:rsidR="00153FC5" w:rsidRPr="00153FC5">
      <w:rPr>
        <w:sz w:val="20"/>
        <w:szCs w:val="20"/>
      </w:rPr>
      <w:t>EV 07b</w:t>
    </w:r>
  </w:p>
  <w:p w:rsidR="00097100" w:rsidRDefault="0009710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BA72CC"/>
    <w:multiLevelType w:val="hybridMultilevel"/>
    <w:tmpl w:val="E67265DA"/>
    <w:lvl w:ilvl="0" w:tplc="7CFC38BC">
      <w:start w:val="1"/>
      <w:numFmt w:val="decimal"/>
      <w:lvlText w:val="%1."/>
      <w:lvlJc w:val="left"/>
      <w:pPr>
        <w:ind w:left="360" w:hanging="360"/>
      </w:pPr>
      <w:rPr>
        <w:rFonts w:hint="default"/>
        <w:b/>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hFTF0eJE9QUvzTax7HuFPOYbb12Gpykg+vpFSpNZVm7BWIHGeQxM3DN41o2UCAt9YqaE2Vq7xCnIcXBIQMdAWA==" w:salt="VKWJHhRVrPIDTluYsMY1Mw=="/>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882"/>
    <w:rsid w:val="00042125"/>
    <w:rsid w:val="00050215"/>
    <w:rsid w:val="0005022A"/>
    <w:rsid w:val="00093677"/>
    <w:rsid w:val="00097100"/>
    <w:rsid w:val="000A4C09"/>
    <w:rsid w:val="00153FC5"/>
    <w:rsid w:val="0018492E"/>
    <w:rsid w:val="001F1517"/>
    <w:rsid w:val="002D5103"/>
    <w:rsid w:val="004114DB"/>
    <w:rsid w:val="00441882"/>
    <w:rsid w:val="008C5D69"/>
    <w:rsid w:val="008E0073"/>
    <w:rsid w:val="00D079D5"/>
    <w:rsid w:val="00D23871"/>
    <w:rsid w:val="00F970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59F8F349-2BD8-46FA-B0C5-070FAB3DD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079D5"/>
    <w:pPr>
      <w:spacing w:after="0"/>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D5103"/>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D5103"/>
    <w:rPr>
      <w:rFonts w:ascii="Arial" w:hAnsi="Arial"/>
      <w:sz w:val="24"/>
    </w:rPr>
  </w:style>
  <w:style w:type="paragraph" w:styleId="Fuzeile">
    <w:name w:val="footer"/>
    <w:basedOn w:val="Standard"/>
    <w:link w:val="FuzeileZchn"/>
    <w:uiPriority w:val="99"/>
    <w:unhideWhenUsed/>
    <w:rsid w:val="002D5103"/>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D5103"/>
    <w:rPr>
      <w:rFonts w:ascii="Arial" w:hAnsi="Arial"/>
      <w:sz w:val="24"/>
    </w:rPr>
  </w:style>
  <w:style w:type="table" w:styleId="Tabellenraster">
    <w:name w:val="Table Grid"/>
    <w:basedOn w:val="NormaleTabelle"/>
    <w:uiPriority w:val="59"/>
    <w:rsid w:val="002D5103"/>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9710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971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605</Words>
  <Characters>3812</Characters>
  <Application>Microsoft Office Word</Application>
  <DocSecurity>0</DocSecurity>
  <Lines>31</Lines>
  <Paragraphs>8</Paragraphs>
  <ScaleCrop>false</ScaleCrop>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von Appen, Nathalie</cp:lastModifiedBy>
  <cp:revision>13</cp:revision>
  <dcterms:created xsi:type="dcterms:W3CDTF">2019-03-21T14:26:00Z</dcterms:created>
  <dcterms:modified xsi:type="dcterms:W3CDTF">2023-01-13T08:15:00Z</dcterms:modified>
</cp:coreProperties>
</file>